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 w:cs="Times New Roman"/>
          <w:b/>
          <w:sz w:val="40"/>
          <w:szCs w:val="40"/>
        </w:rPr>
      </w:pPr>
      <w:r>
        <w:rPr>
          <w:rFonts w:hint="eastAsia" w:ascii="宋体" w:hAnsi="宋体" w:eastAsia="宋体" w:cs="Times New Roman"/>
          <w:b/>
          <w:sz w:val="40"/>
          <w:szCs w:val="40"/>
        </w:rPr>
        <w:t>所收礼金、礼品处理办法</w:t>
      </w:r>
    </w:p>
    <w:p>
      <w:pPr>
        <w:spacing w:line="500" w:lineRule="exact"/>
        <w:ind w:firstLine="562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 xml:space="preserve">第一条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公司系统各单位及所有员工在日常工作及对外交往过程中，应拒绝接受合作单位或个人及潜在合作单位或个人的礼金、礼品等馈赠。</w:t>
      </w:r>
    </w:p>
    <w:p>
      <w:pPr>
        <w:spacing w:line="500" w:lineRule="exact"/>
        <w:ind w:firstLine="562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第二条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馈赠确实未能拒绝的，收受单位或个人应填写《礼金礼品上缴清单》，通报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部门进行备案、评估并确定最终处理方式。</w:t>
      </w:r>
    </w:p>
    <w:p>
      <w:pPr>
        <w:spacing w:line="500" w:lineRule="exact"/>
        <w:ind w:firstLine="562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第三条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各类馈赠原则上按以下方式与程序处理：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（一）“红包”、存折、储蓄卡等现金类馈赠，经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部门核实金额并登记备案后，由上缴部门与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部门一同交公司财务部门入帐。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（二）购物卡、券及</w:t>
      </w:r>
      <w:r>
        <w:rPr>
          <w:rFonts w:ascii="仿宋_GB2312" w:hAnsi="Times New Roman" w:eastAsia="仿宋_GB2312" w:cs="Times New Roman"/>
          <w:sz w:val="28"/>
          <w:szCs w:val="28"/>
        </w:rPr>
        <w:t>金银</w:t>
      </w:r>
      <w:r>
        <w:rPr>
          <w:rFonts w:hint="eastAsia" w:ascii="仿宋_GB2312" w:hAnsi="Times New Roman" w:eastAsia="仿宋_GB2312" w:cs="Times New Roman"/>
          <w:sz w:val="28"/>
          <w:szCs w:val="28"/>
        </w:rPr>
        <w:t>珠宝、</w:t>
      </w:r>
      <w:r>
        <w:rPr>
          <w:rFonts w:ascii="仿宋_GB2312" w:hAnsi="Times New Roman" w:eastAsia="仿宋_GB2312" w:cs="Times New Roman"/>
          <w:sz w:val="28"/>
          <w:szCs w:val="28"/>
        </w:rPr>
        <w:t>工艺品、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化妆品、</w:t>
      </w:r>
      <w:r>
        <w:rPr>
          <w:rFonts w:ascii="仿宋_GB2312" w:hAnsi="Times New Roman" w:eastAsia="仿宋_GB2312" w:cs="Times New Roman"/>
          <w:sz w:val="28"/>
          <w:szCs w:val="28"/>
        </w:rPr>
        <w:t>日用品、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烟酒糖茶等，经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部门记录金额或询价并登记备案后，由上缴部门与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部门一同交公司或各单位工会用作员工集体活动事项。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（三）可用于办公用途的各类物</w:t>
      </w:r>
      <w:r>
        <w:rPr>
          <w:rFonts w:ascii="仿宋_GB2312" w:hAnsi="Times New Roman" w:eastAsia="仿宋_GB2312" w:cs="Times New Roman"/>
          <w:sz w:val="28"/>
          <w:szCs w:val="28"/>
        </w:rPr>
        <w:t>品，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经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部门询价并登记备案后，由上缴部门与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部门一同交行政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管理中心</w:t>
      </w:r>
      <w:r>
        <w:rPr>
          <w:rFonts w:hint="eastAsia" w:ascii="仿宋_GB2312" w:hAnsi="Times New Roman" w:eastAsia="仿宋_GB2312" w:cs="Times New Roman"/>
          <w:sz w:val="28"/>
          <w:szCs w:val="28"/>
        </w:rPr>
        <w:t>调配使用</w:t>
      </w:r>
      <w:r>
        <w:rPr>
          <w:rFonts w:ascii="仿宋_GB2312" w:hAnsi="Times New Roman" w:eastAsia="仿宋_GB2312" w:cs="Times New Roman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（四）不易保存的</w:t>
      </w:r>
      <w:r>
        <w:rPr>
          <w:rFonts w:ascii="仿宋_GB2312" w:hAnsi="Times New Roman" w:eastAsia="仿宋_GB2312" w:cs="Times New Roman"/>
          <w:sz w:val="28"/>
          <w:szCs w:val="28"/>
        </w:rPr>
        <w:t>食品、副食品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、水果等，经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部门询价并登记备案后，价值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元以下的由礼品收受部门自行处理，价值超过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元的由上缴部门与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部门一同交公司或各单位工会用作看望慰问员工。</w:t>
      </w:r>
    </w:p>
    <w:p>
      <w:pPr>
        <w:spacing w:line="500" w:lineRule="exact"/>
        <w:ind w:firstLine="562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第四条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礼品接收部门应向移交单位或个人开立收据，建立《接收使用台帐》并明确管理责任，以保证所接收礼品等不会流失。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接收部门应定期所接收礼品进行盘点，以保证帐物相符。对于有保质期限的物品，应及时安排合理用途，以避免因过期而造成浪费。</w:t>
      </w:r>
    </w:p>
    <w:p>
      <w:pPr>
        <w:spacing w:line="500" w:lineRule="exact"/>
        <w:ind w:firstLine="562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第五条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接收部门在动用所接收礼金、礼品时，应遵守公司公司资金、资产相关管理规定，按照相应审批权限履行审批手续方可动用。</w:t>
      </w:r>
    </w:p>
    <w:p>
      <w:pPr>
        <w:widowControl/>
        <w:tabs>
          <w:tab w:val="left" w:pos="0"/>
          <w:tab w:val="left" w:pos="284"/>
        </w:tabs>
        <w:spacing w:line="500" w:lineRule="exact"/>
        <w:ind w:firstLine="565" w:firstLineChars="201"/>
        <w:jc w:val="center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第六条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督查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部门应定期向领导报告礼金</w:t>
      </w:r>
      <w:r>
        <w:rPr>
          <w:rFonts w:ascii="仿宋_GB2312" w:hAnsi="Times New Roman" w:eastAsia="仿宋_GB2312" w:cs="Times New Roman"/>
          <w:sz w:val="28"/>
          <w:szCs w:val="28"/>
        </w:rPr>
        <w:t>礼品</w:t>
      </w:r>
      <w:r>
        <w:rPr>
          <w:rFonts w:hint="eastAsia" w:ascii="仿宋_GB2312" w:hAnsi="Times New Roman" w:eastAsia="仿宋_GB2312" w:cs="Times New Roman"/>
          <w:sz w:val="28"/>
          <w:szCs w:val="28"/>
        </w:rPr>
        <w:t>上交</w:t>
      </w:r>
      <w:r>
        <w:rPr>
          <w:rFonts w:ascii="仿宋_GB2312" w:hAnsi="Times New Roman" w:eastAsia="仿宋_GB2312" w:cs="Times New Roman"/>
          <w:sz w:val="28"/>
          <w:szCs w:val="28"/>
        </w:rPr>
        <w:t>处理情况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，并依据</w:t>
      </w:r>
    </w:p>
    <w:p>
      <w:pPr>
        <w:widowControl/>
        <w:tabs>
          <w:tab w:val="left" w:pos="0"/>
          <w:tab w:val="left" w:pos="284"/>
        </w:tabs>
        <w:spacing w:line="500" w:lineRule="exact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备案登记资料，对接收部门</w:t>
      </w:r>
      <w:r>
        <w:rPr>
          <w:rFonts w:ascii="仿宋_GB2312" w:hAnsi="Times New Roman" w:eastAsia="仿宋_GB2312" w:cs="Times New Roman"/>
          <w:sz w:val="28"/>
          <w:szCs w:val="28"/>
        </w:rPr>
        <w:t>礼品</w:t>
      </w:r>
      <w:r>
        <w:rPr>
          <w:rFonts w:hint="eastAsia" w:ascii="仿宋_GB2312" w:hAnsi="Times New Roman" w:eastAsia="仿宋_GB2312" w:cs="Times New Roman"/>
          <w:sz w:val="28"/>
          <w:szCs w:val="28"/>
        </w:rPr>
        <w:t>使用管理工作质量进行检查。</w:t>
      </w:r>
    </w:p>
    <w:p>
      <w:pPr>
        <w:widowControl/>
        <w:spacing w:line="500" w:lineRule="exact"/>
        <w:ind w:firstLine="563" w:firstLineChars="201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440" w:lineRule="exact"/>
        <w:ind w:left="4958" w:leftChars="2361" w:right="91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40" w:lineRule="exact"/>
        <w:ind w:left="4958" w:leftChars="2361" w:right="91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</w:t>
      </w:r>
    </w:p>
    <w:p>
      <w:pPr>
        <w:widowControl/>
        <w:spacing w:line="500" w:lineRule="exact"/>
        <w:ind w:firstLine="140" w:firstLineChars="50"/>
        <w:jc w:val="left"/>
        <w:rPr>
          <w:rFonts w:ascii="楷体_GB2312" w:hAnsi="Times New Roman" w:eastAsia="楷体_GB2312" w:cs="Times New Roman"/>
          <w:kern w:val="0"/>
          <w:sz w:val="28"/>
          <w:szCs w:val="28"/>
        </w:rPr>
      </w:pPr>
      <w:r>
        <w:rPr>
          <w:rFonts w:hint="eastAsia" w:ascii="楷体_GB2312" w:hAnsi="Times New Roman" w:eastAsia="楷体_GB2312" w:cs="Times New Roman"/>
          <w:kern w:val="0"/>
          <w:sz w:val="28"/>
          <w:szCs w:val="28"/>
        </w:rPr>
        <w:t>《礼金、礼品上缴清单》（模版）</w:t>
      </w:r>
    </w:p>
    <w:tbl>
      <w:tblPr>
        <w:tblStyle w:val="6"/>
        <w:tblpPr w:leftFromText="180" w:rightFromText="180" w:vertAnchor="text" w:horzAnchor="margin" w:tblpXSpec="center" w:tblpY="711"/>
        <w:tblW w:w="10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889"/>
        <w:gridCol w:w="1797"/>
        <w:gridCol w:w="1797"/>
        <w:gridCol w:w="2769"/>
        <w:gridCol w:w="1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</w:rPr>
              <w:t>礼金、礼品上缴清单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上缴人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上缴人单位</w:t>
            </w: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内容清单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品牌/规格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数量/单位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标示或评估价值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礼金、礼品来源说明</w:t>
            </w:r>
          </w:p>
        </w:tc>
        <w:tc>
          <w:tcPr>
            <w:tcW w:w="9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上缴人签名：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督查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部门备案</w:t>
            </w:r>
          </w:p>
        </w:tc>
        <w:tc>
          <w:tcPr>
            <w:tcW w:w="7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接受部门登记</w:t>
            </w:r>
          </w:p>
        </w:tc>
        <w:tc>
          <w:tcPr>
            <w:tcW w:w="7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500" w:lineRule="exact"/>
        <w:jc w:val="left"/>
      </w:pPr>
    </w:p>
    <w:sectPr>
      <w:pgSz w:w="11906" w:h="16838"/>
      <w:pgMar w:top="993" w:right="1558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4"/>
    <w:rsid w:val="00012F86"/>
    <w:rsid w:val="00014594"/>
    <w:rsid w:val="00021E6D"/>
    <w:rsid w:val="00033E61"/>
    <w:rsid w:val="00101C67"/>
    <w:rsid w:val="00105E66"/>
    <w:rsid w:val="001654A8"/>
    <w:rsid w:val="001717FF"/>
    <w:rsid w:val="00172BBF"/>
    <w:rsid w:val="001749BC"/>
    <w:rsid w:val="0018232A"/>
    <w:rsid w:val="0018648C"/>
    <w:rsid w:val="001A54F7"/>
    <w:rsid w:val="001D0DC6"/>
    <w:rsid w:val="002221A6"/>
    <w:rsid w:val="002A459D"/>
    <w:rsid w:val="002C1C46"/>
    <w:rsid w:val="002E7F0E"/>
    <w:rsid w:val="002F7B89"/>
    <w:rsid w:val="00303095"/>
    <w:rsid w:val="00323C68"/>
    <w:rsid w:val="00327078"/>
    <w:rsid w:val="003A461A"/>
    <w:rsid w:val="003A5B4D"/>
    <w:rsid w:val="004563E4"/>
    <w:rsid w:val="004A4DBC"/>
    <w:rsid w:val="004A626D"/>
    <w:rsid w:val="00512317"/>
    <w:rsid w:val="00576557"/>
    <w:rsid w:val="006C3795"/>
    <w:rsid w:val="006E4CE8"/>
    <w:rsid w:val="006F73C9"/>
    <w:rsid w:val="00700C69"/>
    <w:rsid w:val="007D32C3"/>
    <w:rsid w:val="008448A9"/>
    <w:rsid w:val="00877814"/>
    <w:rsid w:val="008951E0"/>
    <w:rsid w:val="008A2125"/>
    <w:rsid w:val="0091059C"/>
    <w:rsid w:val="00925CDA"/>
    <w:rsid w:val="009357F7"/>
    <w:rsid w:val="0094493C"/>
    <w:rsid w:val="00973740"/>
    <w:rsid w:val="009766AE"/>
    <w:rsid w:val="00986549"/>
    <w:rsid w:val="0099413D"/>
    <w:rsid w:val="009B7423"/>
    <w:rsid w:val="00A379C9"/>
    <w:rsid w:val="00A9175E"/>
    <w:rsid w:val="00AA75EF"/>
    <w:rsid w:val="00AB519A"/>
    <w:rsid w:val="00AC0217"/>
    <w:rsid w:val="00AE4B34"/>
    <w:rsid w:val="00B101A7"/>
    <w:rsid w:val="00B27E62"/>
    <w:rsid w:val="00B52549"/>
    <w:rsid w:val="00B7073F"/>
    <w:rsid w:val="00B761AF"/>
    <w:rsid w:val="00BC7B8D"/>
    <w:rsid w:val="00BD1585"/>
    <w:rsid w:val="00BF148F"/>
    <w:rsid w:val="00C01A15"/>
    <w:rsid w:val="00C11FCF"/>
    <w:rsid w:val="00C82C86"/>
    <w:rsid w:val="00CA638A"/>
    <w:rsid w:val="00CD4F98"/>
    <w:rsid w:val="00D379D8"/>
    <w:rsid w:val="00DB0BE9"/>
    <w:rsid w:val="00E4573C"/>
    <w:rsid w:val="00E94A5F"/>
    <w:rsid w:val="00EC6295"/>
    <w:rsid w:val="00ED2E6C"/>
    <w:rsid w:val="00F136C3"/>
    <w:rsid w:val="00F528BF"/>
    <w:rsid w:val="00F71F38"/>
    <w:rsid w:val="00F86548"/>
    <w:rsid w:val="00FD4303"/>
    <w:rsid w:val="3327288F"/>
    <w:rsid w:val="378C0E99"/>
    <w:rsid w:val="432C0E98"/>
    <w:rsid w:val="4D5D6A73"/>
    <w:rsid w:val="5CC57596"/>
    <w:rsid w:val="70ED1285"/>
    <w:rsid w:val="773318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793</Characters>
  <Lines>6</Lines>
  <Paragraphs>1</Paragraphs>
  <ScaleCrop>false</ScaleCrop>
  <LinksUpToDate>false</LinksUpToDate>
  <CharactersWithSpaces>930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2014-03-11T07:29:00Z</dcterms:created>
  <dc:creator>翟海滨</dc:creator>
  <cp:lastModifiedBy>JBG</cp:lastModifiedBy>
  <dcterms:modified xsi:type="dcterms:W3CDTF">2017-08-23T06:53:43Z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